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00" w:type="dxa"/>
        <w:jc w:val="center"/>
        <w:shd w:val="clear" w:color="auto" w:fill="FFFFFF"/>
        <w:tblCellMar>
          <w:left w:w="0" w:type="dxa"/>
          <w:right w:w="0" w:type="dxa"/>
        </w:tblCellMar>
        <w:tblLook w:val="04A0" w:firstRow="1" w:lastRow="0" w:firstColumn="1" w:lastColumn="0" w:noHBand="0" w:noVBand="1"/>
      </w:tblPr>
      <w:tblGrid>
        <w:gridCol w:w="9306"/>
      </w:tblGrid>
      <w:tr w:rsidR="003628A2" w:rsidTr="003628A2">
        <w:trPr>
          <w:jc w:val="center"/>
        </w:trPr>
        <w:tc>
          <w:tcPr>
            <w:tcW w:w="0" w:type="auto"/>
            <w:shd w:val="clear" w:color="auto" w:fill="FFFFFF"/>
            <w:hideMark/>
          </w:tcPr>
          <w:tbl>
            <w:tblPr>
              <w:tblW w:w="8700" w:type="dxa"/>
              <w:tblCellMar>
                <w:left w:w="0" w:type="dxa"/>
                <w:right w:w="0" w:type="dxa"/>
              </w:tblCellMar>
              <w:tblLook w:val="04A0" w:firstRow="1" w:lastRow="0" w:firstColumn="1" w:lastColumn="0" w:noHBand="0" w:noVBand="1"/>
            </w:tblPr>
            <w:tblGrid>
              <w:gridCol w:w="9306"/>
            </w:tblGrid>
            <w:tr w:rsidR="003628A2">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3628A2">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3628A2">
                          <w:tc>
                            <w:tcPr>
                              <w:tcW w:w="0" w:type="auto"/>
                              <w:tcMar>
                                <w:top w:w="0" w:type="dxa"/>
                                <w:left w:w="150" w:type="dxa"/>
                                <w:bottom w:w="150" w:type="dxa"/>
                                <w:right w:w="150" w:type="dxa"/>
                              </w:tcMar>
                            </w:tcPr>
                            <w:p w:rsidR="003628A2" w:rsidRDefault="003628A2" w:rsidP="003628A2">
                              <w:pPr>
                                <w:spacing w:line="280" w:lineRule="atLeast"/>
                                <w:rPr>
                                  <w:rStyle w:val="Hyperlink"/>
                                  <w:rFonts w:ascii="Helvetica" w:eastAsia="Times New Roman" w:hAnsi="Helvetica" w:cs="Helvetica"/>
                                </w:rPr>
                              </w:pPr>
                              <w:r>
                                <w:rPr>
                                  <w:rFonts w:ascii="Helvetica" w:eastAsia="Times New Roman" w:hAnsi="Helvetica" w:cs="Helvetica"/>
                                  <w:noProof/>
                                  <w:color w:val="0000FF"/>
                                  <w:sz w:val="20"/>
                                  <w:szCs w:val="20"/>
                                </w:rPr>
                                <w:drawing>
                                  <wp:inline distT="0" distB="0" distL="0" distR="0">
                                    <wp:extent cx="5334000" cy="1809750"/>
                                    <wp:effectExtent l="0" t="0" r="0" b="0"/>
                                    <wp:docPr id="7" name="Picture 7" descr="newsletter header">
                                      <a:hlinkClick xmlns:a="http://schemas.openxmlformats.org/drawingml/2006/main" r:id="rId4"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letter head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1809750"/>
                                            </a:xfrm>
                                            <a:prstGeom prst="rect">
                                              <a:avLst/>
                                            </a:prstGeom>
                                            <a:noFill/>
                                            <a:ln>
                                              <a:noFill/>
                                            </a:ln>
                                          </pic:spPr>
                                        </pic:pic>
                                      </a:graphicData>
                                    </a:graphic>
                                  </wp:inline>
                                </w:drawing>
                              </w:r>
                            </w:p>
                            <w:p w:rsidR="003628A2" w:rsidRDefault="003628A2" w:rsidP="003628A2">
                              <w:hyperlink r:id="rId6" w:tgtFrame="_self" w:history="1">
                                <w:r>
                                  <w:rPr>
                                    <w:rStyle w:val="Hyperlink"/>
                                    <w:rFonts w:ascii="Helvetica" w:eastAsia="Times New Roman" w:hAnsi="Helvetica" w:cs="Helvetica"/>
                                    <w:sz w:val="20"/>
                                    <w:szCs w:val="20"/>
                                  </w:rPr>
                                  <w:t>Click to view newsletter archives</w:t>
                                </w:r>
                              </w:hyperlink>
                            </w:p>
                            <w:p w:rsidR="003628A2" w:rsidRDefault="003628A2" w:rsidP="003628A2">
                              <w:pPr>
                                <w:spacing w:line="280" w:lineRule="atLeast"/>
                                <w:rPr>
                                  <w:rFonts w:ascii="Helvetica" w:eastAsia="Times New Roman" w:hAnsi="Helvetica" w:cs="Helvetica"/>
                                  <w:color w:val="222222"/>
                                  <w:sz w:val="20"/>
                                  <w:szCs w:val="20"/>
                                </w:rPr>
                              </w:pPr>
                            </w:p>
                          </w:tc>
                          <w:tc>
                            <w:tcPr>
                              <w:tcW w:w="6" w:type="dxa"/>
                              <w:hideMark/>
                            </w:tcPr>
                            <w:p w:rsidR="003628A2" w:rsidRDefault="003628A2" w:rsidP="003628A2">
                              <w:pPr>
                                <w:rPr>
                                  <w:rFonts w:ascii="Helvetica" w:eastAsia="Times New Roman" w:hAnsi="Helvetica" w:cs="Helvetica"/>
                                  <w:color w:val="222222"/>
                                  <w:sz w:val="20"/>
                                  <w:szCs w:val="20"/>
                                </w:rPr>
                              </w:pPr>
                            </w:p>
                          </w:tc>
                        </w:tr>
                      </w:tbl>
                      <w:p w:rsidR="003628A2" w:rsidRDefault="003628A2" w:rsidP="003628A2">
                        <w:pPr>
                          <w:rPr>
                            <w:rFonts w:eastAsia="Times New Roman"/>
                            <w:sz w:val="20"/>
                            <w:szCs w:val="20"/>
                          </w:rPr>
                        </w:pPr>
                      </w:p>
                    </w:tc>
                  </w:tr>
                </w:tbl>
                <w:p w:rsidR="003628A2" w:rsidRDefault="003628A2" w:rsidP="003628A2">
                  <w:pPr>
                    <w:rPr>
                      <w:rFonts w:eastAsia="Times New Roman"/>
                      <w:sz w:val="20"/>
                      <w:szCs w:val="20"/>
                    </w:rPr>
                  </w:pPr>
                </w:p>
              </w:tc>
            </w:tr>
            <w:tr w:rsidR="003628A2">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3628A2">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3628A2">
                          <w:tc>
                            <w:tcPr>
                              <w:tcW w:w="0" w:type="auto"/>
                              <w:tcMar>
                                <w:top w:w="150" w:type="dxa"/>
                                <w:left w:w="150" w:type="dxa"/>
                                <w:bottom w:w="150" w:type="dxa"/>
                                <w:right w:w="150" w:type="dxa"/>
                              </w:tcMar>
                              <w:hideMark/>
                            </w:tcPr>
                            <w:p w:rsidR="003628A2" w:rsidRDefault="003628A2" w:rsidP="003628A2">
                              <w:pPr>
                                <w:pStyle w:val="normal1"/>
                              </w:pPr>
                              <w:r>
                                <w:t>View a Featured Ad at the end of this email.</w:t>
                              </w:r>
                            </w:p>
                            <w:p w:rsidR="003628A2" w:rsidRDefault="003628A2" w:rsidP="003628A2">
                              <w:pPr>
                                <w:pStyle w:val="Heading1"/>
                                <w:spacing w:before="0" w:beforeAutospacing="0" w:after="300" w:afterAutospacing="0"/>
                                <w:rPr>
                                  <w:rFonts w:ascii="Arial" w:eastAsia="Times New Roman" w:hAnsi="Arial" w:cs="Arial"/>
                                  <w:color w:val="AF282F"/>
                                  <w:sz w:val="30"/>
                                  <w:szCs w:val="30"/>
                                </w:rPr>
                              </w:pPr>
                              <w:r>
                                <w:rPr>
                                  <w:rFonts w:ascii="Arial" w:eastAsia="Times New Roman" w:hAnsi="Arial" w:cs="Arial"/>
                                  <w:color w:val="AF282F"/>
                                  <w:sz w:val="30"/>
                                  <w:szCs w:val="30"/>
                                </w:rPr>
                                <w:br/>
                                <w:t>October 15, 2018</w:t>
                              </w:r>
                            </w:p>
                            <w:p w:rsidR="003628A2" w:rsidRDefault="003628A2" w:rsidP="003628A2">
                              <w:pPr>
                                <w:pStyle w:val="normal1"/>
                              </w:pPr>
                              <w:r>
                                <w:t>I.   Are You Ready for the Annual Conference Week?</w:t>
                              </w:r>
                              <w:r>
                                <w:br/>
                                <w:t>II.</w:t>
                              </w:r>
                              <w:proofErr w:type="gramStart"/>
                              <w:r>
                                <w:t>  New</w:t>
                              </w:r>
                              <w:proofErr w:type="gramEnd"/>
                              <w:r>
                                <w:t xml:space="preserve"> - League Publication Updated! Municipal Parking &amp; Recreation Fees</w:t>
                              </w:r>
                              <w:r>
                                <w:br/>
                                <w:t>III. Don’t Forget! CEU Tracking System Procedures for 103rd Annual NJLM Conference</w:t>
                              </w:r>
                            </w:p>
                          </w:tc>
                          <w:tc>
                            <w:tcPr>
                              <w:tcW w:w="6" w:type="dxa"/>
                              <w:hideMark/>
                            </w:tcPr>
                            <w:p w:rsidR="003628A2" w:rsidRDefault="003628A2" w:rsidP="003628A2"/>
                          </w:tc>
                        </w:tr>
                      </w:tbl>
                      <w:p w:rsidR="003628A2" w:rsidRDefault="003628A2" w:rsidP="003628A2">
                        <w:pPr>
                          <w:rPr>
                            <w:rFonts w:eastAsia="Times New Roman"/>
                            <w:sz w:val="20"/>
                            <w:szCs w:val="20"/>
                          </w:rPr>
                        </w:pPr>
                      </w:p>
                    </w:tc>
                  </w:tr>
                </w:tbl>
                <w:p w:rsidR="003628A2" w:rsidRDefault="003628A2" w:rsidP="003628A2">
                  <w:pPr>
                    <w:rPr>
                      <w:rFonts w:eastAsia="Times New Roman"/>
                      <w:sz w:val="20"/>
                      <w:szCs w:val="20"/>
                    </w:rPr>
                  </w:pPr>
                </w:p>
              </w:tc>
            </w:tr>
            <w:tr w:rsidR="003628A2">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3628A2">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3628A2">
                          <w:tc>
                            <w:tcPr>
                              <w:tcW w:w="0" w:type="auto"/>
                              <w:tcMar>
                                <w:top w:w="150" w:type="dxa"/>
                                <w:left w:w="150" w:type="dxa"/>
                                <w:bottom w:w="150" w:type="dxa"/>
                                <w:right w:w="150" w:type="dxa"/>
                              </w:tcMar>
                              <w:hideMark/>
                            </w:tcPr>
                            <w:p w:rsidR="003628A2" w:rsidRDefault="003628A2" w:rsidP="003628A2">
                              <w:pPr>
                                <w:pStyle w:val="Heading1"/>
                                <w:spacing w:before="0" w:beforeAutospacing="0" w:after="0" w:afterAutospacing="0"/>
                                <w:rPr>
                                  <w:rFonts w:ascii="Arial" w:eastAsia="Times New Roman" w:hAnsi="Arial" w:cs="Arial"/>
                                  <w:color w:val="AF282F"/>
                                  <w:sz w:val="30"/>
                                  <w:szCs w:val="30"/>
                                </w:rPr>
                              </w:pPr>
                              <w:r>
                                <w:rPr>
                                  <w:rStyle w:val="Strong"/>
                                  <w:rFonts w:ascii="Arial" w:eastAsia="Times New Roman" w:hAnsi="Arial" w:cs="Arial"/>
                                  <w:b/>
                                  <w:bCs/>
                                  <w:color w:val="AF282F"/>
                                  <w:sz w:val="30"/>
                                  <w:szCs w:val="30"/>
                                </w:rPr>
                                <w:t>I. Are You Ready for the Annual Conference Week?</w:t>
                              </w:r>
                            </w:p>
                            <w:p w:rsidR="003628A2" w:rsidRDefault="003628A2" w:rsidP="003628A2">
                              <w:pPr>
                                <w:pStyle w:val="normal1"/>
                                <w:spacing w:after="240"/>
                              </w:pPr>
                              <w:r>
                                <w:t> </w:t>
                              </w:r>
                              <w:r>
                                <w:br/>
                                <w:t>The Conference App is available now! Search sessions, CEUs, exhibitors and participati</w:t>
                              </w:r>
                              <w:bookmarkStart w:id="0" w:name="_GoBack"/>
                              <w:bookmarkEnd w:id="0"/>
                              <w:r>
                                <w:t>ng consultants. Save a personalized schedule so that you don’t miss a thing!</w:t>
                              </w:r>
                              <w:r>
                                <w:br/>
                                <w:t> </w:t>
                              </w:r>
                              <w:r>
                                <w:br/>
                                <w:t xml:space="preserve">Download by visiting your app store! </w:t>
                              </w:r>
                              <w:hyperlink r:id="rId7" w:history="1">
                                <w:r>
                                  <w:rPr>
                                    <w:rStyle w:val="Hyperlink"/>
                                  </w:rPr>
                                  <w:t>For app FAQ’s visit the League’s website</w:t>
                                </w:r>
                              </w:hyperlink>
                              <w:r>
                                <w:t>.</w:t>
                              </w:r>
                              <w:r>
                                <w:br/>
                                <w:t> </w:t>
                              </w:r>
                              <w:r>
                                <w:br/>
                                <w:t>If you downloaded the app last year, you must download the 2018 version to view information for the current year.</w:t>
                              </w:r>
                              <w:r>
                                <w:br/>
                                <w:t> </w:t>
                              </w:r>
                              <w:r>
                                <w:br/>
                                <w:t>The 2018 Conference App is Exclusively Sponsored by AT&amp;T.</w:t>
                              </w:r>
                              <w:r>
                                <w:br/>
                                <w:t> </w:t>
                              </w:r>
                            </w:p>
                            <w:p w:rsidR="003628A2" w:rsidRDefault="003628A2" w:rsidP="003628A2">
                              <w:pPr>
                                <w:pStyle w:val="Heading1"/>
                                <w:spacing w:before="0" w:beforeAutospacing="0" w:after="0" w:afterAutospacing="0"/>
                                <w:rPr>
                                  <w:rFonts w:ascii="Arial" w:eastAsia="Times New Roman" w:hAnsi="Arial" w:cs="Arial"/>
                                  <w:color w:val="AF282F"/>
                                  <w:sz w:val="30"/>
                                  <w:szCs w:val="30"/>
                                </w:rPr>
                              </w:pPr>
                              <w:r>
                                <w:rPr>
                                  <w:rStyle w:val="Strong"/>
                                  <w:rFonts w:ascii="Arial" w:eastAsia="Times New Roman" w:hAnsi="Arial" w:cs="Arial"/>
                                  <w:b/>
                                  <w:bCs/>
                                  <w:color w:val="AF282F"/>
                                  <w:sz w:val="30"/>
                                  <w:szCs w:val="30"/>
                                </w:rPr>
                                <w:t>II. New - League Publication Updated! Municipal Parking &amp;</w:t>
                              </w:r>
                              <w:r>
                                <w:rPr>
                                  <w:rFonts w:ascii="Arial" w:eastAsia="Times New Roman" w:hAnsi="Arial" w:cs="Arial"/>
                                  <w:color w:val="AF282F"/>
                                  <w:sz w:val="30"/>
                                  <w:szCs w:val="30"/>
                                </w:rPr>
                                <w:br/>
                              </w:r>
                              <w:r>
                                <w:rPr>
                                  <w:rStyle w:val="Strong"/>
                                  <w:rFonts w:ascii="Arial" w:eastAsia="Times New Roman" w:hAnsi="Arial" w:cs="Arial"/>
                                  <w:b/>
                                  <w:bCs/>
                                  <w:color w:val="AF282F"/>
                                  <w:sz w:val="30"/>
                                  <w:szCs w:val="30"/>
                                </w:rPr>
                                <w:t>    Recreation Fees</w:t>
                              </w:r>
                            </w:p>
                            <w:p w:rsidR="003628A2" w:rsidRDefault="003628A2" w:rsidP="003628A2">
                              <w:pPr>
                                <w:pStyle w:val="normal1"/>
                                <w:spacing w:after="240"/>
                              </w:pPr>
                              <w:r>
                                <w:t> </w:t>
                              </w:r>
                              <w:r>
                                <w:br/>
                                <w:t>The League is pleased to announce an update of its License Series: Volume 4. This book lists municipal fees for metered parking, train station lots, residential areas and parking enforcement. It also provides recreation fees for soccer, basketball, football, bowling, tennis, swimming, lacrosse, cricket, baseball, softball, volleyball, golf, adult exercise programs, summer camp, street hockey, youth ice hockey, therapeutic recreation, and before/after school day care. Data for 259 municipalities are included in this book.</w:t>
                              </w:r>
                              <w:r>
                                <w:br/>
                                <w:t> </w:t>
                              </w:r>
                              <w:r>
                                <w:br/>
                                <w:t xml:space="preserve">Included with this book are Microsoft Excel files of the data. </w:t>
                              </w:r>
                              <w:hyperlink r:id="rId8" w:history="1">
                                <w:r>
                                  <w:rPr>
                                    <w:rStyle w:val="Hyperlink"/>
                                  </w:rPr>
                                  <w:t>Visit the League website</w:t>
                                </w:r>
                              </w:hyperlink>
                              <w:r>
                                <w:t xml:space="preserve"> to purchase.</w:t>
                              </w:r>
                              <w:r>
                                <w:br/>
                              </w:r>
                              <w:r>
                                <w:lastRenderedPageBreak/>
                                <w:t> </w:t>
                              </w:r>
                              <w:r>
                                <w:br/>
                                <w:t xml:space="preserve">League contact for orders: Suzanne Allen, </w:t>
                              </w:r>
                              <w:hyperlink r:id="rId9" w:history="1">
                                <w:r>
                                  <w:rPr>
                                    <w:rStyle w:val="Hyperlink"/>
                                  </w:rPr>
                                  <w:t>sallen@njslom.org</w:t>
                                </w:r>
                              </w:hyperlink>
                              <w:r>
                                <w:t>, 609-695-3481 ext. 129.</w:t>
                              </w:r>
                              <w:r>
                                <w:br/>
                                <w:t> </w:t>
                              </w:r>
                            </w:p>
                            <w:p w:rsidR="003628A2" w:rsidRDefault="003628A2" w:rsidP="003628A2">
                              <w:pPr>
                                <w:pStyle w:val="Heading1"/>
                                <w:spacing w:before="0" w:beforeAutospacing="0" w:after="0" w:afterAutospacing="0"/>
                                <w:rPr>
                                  <w:rFonts w:ascii="Arial" w:eastAsia="Times New Roman" w:hAnsi="Arial" w:cs="Arial"/>
                                  <w:color w:val="AF282F"/>
                                  <w:sz w:val="30"/>
                                  <w:szCs w:val="30"/>
                                </w:rPr>
                              </w:pPr>
                              <w:r>
                                <w:rPr>
                                  <w:rStyle w:val="Strong"/>
                                  <w:rFonts w:ascii="Arial" w:eastAsia="Times New Roman" w:hAnsi="Arial" w:cs="Arial"/>
                                  <w:b/>
                                  <w:bCs/>
                                  <w:color w:val="AF282F"/>
                                  <w:sz w:val="30"/>
                                  <w:szCs w:val="30"/>
                                </w:rPr>
                                <w:t>III. Don’t Forget! CEU Tracking System Procedures for</w:t>
                              </w:r>
                              <w:r>
                                <w:rPr>
                                  <w:rFonts w:ascii="Arial" w:eastAsia="Times New Roman" w:hAnsi="Arial" w:cs="Arial"/>
                                  <w:color w:val="AF282F"/>
                                  <w:sz w:val="30"/>
                                  <w:szCs w:val="30"/>
                                </w:rPr>
                                <w:br/>
                              </w:r>
                              <w:r>
                                <w:rPr>
                                  <w:rStyle w:val="Strong"/>
                                  <w:rFonts w:ascii="Arial" w:eastAsia="Times New Roman" w:hAnsi="Arial" w:cs="Arial"/>
                                  <w:b/>
                                  <w:bCs/>
                                  <w:color w:val="AF282F"/>
                                  <w:sz w:val="30"/>
                                  <w:szCs w:val="30"/>
                                </w:rPr>
                                <w:t>     103rd Annual NJLM Conference</w:t>
                              </w:r>
                            </w:p>
                            <w:p w:rsidR="003628A2" w:rsidRDefault="003628A2" w:rsidP="003628A2">
                              <w:pPr>
                                <w:pStyle w:val="normal1"/>
                              </w:pPr>
                              <w:r>
                                <w:t> </w:t>
                              </w:r>
                              <w:r>
                                <w:br/>
                                <w:t>Badge Scanners will be used to track CEU Credits and Attendance at the NJLM 103rd   Annual Conference.</w:t>
                              </w:r>
                              <w:r>
                                <w:br/>
                              </w:r>
                              <w:r>
                                <w:br/>
                                <w:t>For Sessions that Have CEU credit Available </w:t>
                              </w:r>
                              <w:r>
                                <w:br/>
                                <w:t>• All Attendees looking to earn credit must scan-in and scan-out of these qualifying sessions* to earn their CEU credits.</w:t>
                              </w:r>
                              <w:r>
                                <w:br/>
                                <w:t>•</w:t>
                              </w:r>
                              <w:proofErr w:type="gramStart"/>
                              <w:r>
                                <w:t>  Attendees</w:t>
                              </w:r>
                              <w:proofErr w:type="gramEnd"/>
                              <w:r>
                                <w:t xml:space="preserve"> will claim their certificates after the conference via the League website </w:t>
                              </w:r>
                              <w:hyperlink r:id="rId10" w:history="1">
                                <w:r>
                                  <w:rPr>
                                    <w:rStyle w:val="Hyperlink"/>
                                  </w:rPr>
                                  <w:t>www.njslom.org/confceu/</w:t>
                                </w:r>
                              </w:hyperlink>
                              <w:r>
                                <w:br/>
                                <w:t> </w:t>
                              </w:r>
                              <w:r>
                                <w:br/>
                                <w:t xml:space="preserve">For more information or for a complete list of procedures please visit the </w:t>
                              </w:r>
                              <w:hyperlink r:id="rId11" w:history="1">
                                <w:r>
                                  <w:rPr>
                                    <w:rStyle w:val="Hyperlink"/>
                                  </w:rPr>
                                  <w:t>Conference Website.</w:t>
                                </w:r>
                              </w:hyperlink>
                              <w:r>
                                <w:br/>
                                <w:t> </w:t>
                              </w:r>
                              <w:r>
                                <w:br/>
                                <w:t>* Please note, the procedures described above only apply to educational sessions. Business Meetings and Exhibitor Learning Sessions are not included in the scanning system.</w:t>
                              </w:r>
                            </w:p>
                          </w:tc>
                          <w:tc>
                            <w:tcPr>
                              <w:tcW w:w="6" w:type="dxa"/>
                              <w:hideMark/>
                            </w:tcPr>
                            <w:p w:rsidR="003628A2" w:rsidRDefault="003628A2" w:rsidP="003628A2"/>
                          </w:tc>
                        </w:tr>
                      </w:tbl>
                      <w:p w:rsidR="003628A2" w:rsidRDefault="003628A2" w:rsidP="003628A2">
                        <w:pPr>
                          <w:rPr>
                            <w:rFonts w:eastAsia="Times New Roman"/>
                            <w:sz w:val="20"/>
                            <w:szCs w:val="20"/>
                          </w:rPr>
                        </w:pPr>
                      </w:p>
                    </w:tc>
                  </w:tr>
                </w:tbl>
                <w:p w:rsidR="003628A2" w:rsidRDefault="003628A2" w:rsidP="003628A2">
                  <w:pPr>
                    <w:rPr>
                      <w:rFonts w:eastAsia="Times New Roman"/>
                      <w:sz w:val="20"/>
                      <w:szCs w:val="20"/>
                    </w:rPr>
                  </w:pPr>
                </w:p>
              </w:tc>
            </w:tr>
            <w:tr w:rsidR="003628A2">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3628A2">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3628A2">
                          <w:tc>
                            <w:tcPr>
                              <w:tcW w:w="0" w:type="auto"/>
                              <w:tcMar>
                                <w:top w:w="0" w:type="dxa"/>
                                <w:left w:w="150" w:type="dxa"/>
                                <w:bottom w:w="150" w:type="dxa"/>
                                <w:right w:w="150" w:type="dxa"/>
                              </w:tcMar>
                              <w:hideMark/>
                            </w:tcPr>
                            <w:p w:rsidR="003628A2" w:rsidRDefault="003628A2" w:rsidP="003628A2">
                              <w:pPr>
                                <w:spacing w:line="280" w:lineRule="atLeast"/>
                                <w:rPr>
                                  <w:rFonts w:ascii="Helvetica" w:eastAsia="Times New Roman" w:hAnsi="Helvetica" w:cs="Helvetica"/>
                                  <w:color w:val="222222"/>
                                  <w:sz w:val="20"/>
                                  <w:szCs w:val="20"/>
                                </w:rPr>
                              </w:pPr>
                              <w:r>
                                <w:rPr>
                                  <w:rFonts w:ascii="Helvetica" w:eastAsia="Times New Roman" w:hAnsi="Helvetica" w:cs="Helvetica"/>
                                  <w:noProof/>
                                  <w:color w:val="222222"/>
                                  <w:sz w:val="20"/>
                                  <w:szCs w:val="20"/>
                                </w:rPr>
                                <w:lastRenderedPageBreak/>
                                <w:drawing>
                                  <wp:inline distT="0" distB="0" distL="0" distR="0">
                                    <wp:extent cx="5334000" cy="47625"/>
                                    <wp:effectExtent l="0" t="0" r="0" b="9525"/>
                                    <wp:docPr id="6" name="Picture 6" descr="blu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0" cy="47625"/>
                                            </a:xfrm>
                                            <a:prstGeom prst="rect">
                                              <a:avLst/>
                                            </a:prstGeom>
                                            <a:noFill/>
                                            <a:ln>
                                              <a:noFill/>
                                            </a:ln>
                                          </pic:spPr>
                                        </pic:pic>
                                      </a:graphicData>
                                    </a:graphic>
                                  </wp:inline>
                                </w:drawing>
                              </w:r>
                            </w:p>
                          </w:tc>
                          <w:tc>
                            <w:tcPr>
                              <w:tcW w:w="6" w:type="dxa"/>
                              <w:hideMark/>
                            </w:tcPr>
                            <w:p w:rsidR="003628A2" w:rsidRDefault="003628A2" w:rsidP="003628A2">
                              <w:pPr>
                                <w:rPr>
                                  <w:rFonts w:ascii="Helvetica" w:eastAsia="Times New Roman" w:hAnsi="Helvetica" w:cs="Helvetica"/>
                                  <w:color w:val="222222"/>
                                  <w:sz w:val="20"/>
                                  <w:szCs w:val="20"/>
                                </w:rPr>
                              </w:pPr>
                            </w:p>
                          </w:tc>
                        </w:tr>
                      </w:tbl>
                      <w:p w:rsidR="003628A2" w:rsidRDefault="003628A2" w:rsidP="003628A2">
                        <w:pPr>
                          <w:rPr>
                            <w:rFonts w:eastAsia="Times New Roman"/>
                            <w:sz w:val="20"/>
                            <w:szCs w:val="20"/>
                          </w:rPr>
                        </w:pPr>
                      </w:p>
                    </w:tc>
                  </w:tr>
                </w:tbl>
                <w:p w:rsidR="003628A2" w:rsidRDefault="003628A2" w:rsidP="003628A2">
                  <w:pPr>
                    <w:rPr>
                      <w:rFonts w:eastAsia="Times New Roman"/>
                      <w:sz w:val="20"/>
                      <w:szCs w:val="20"/>
                    </w:rPr>
                  </w:pPr>
                </w:p>
              </w:tc>
            </w:tr>
            <w:tr w:rsidR="003628A2">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3628A2">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3628A2">
                          <w:tc>
                            <w:tcPr>
                              <w:tcW w:w="0" w:type="auto"/>
                              <w:tcMar>
                                <w:top w:w="150" w:type="dxa"/>
                                <w:left w:w="150" w:type="dxa"/>
                                <w:bottom w:w="150" w:type="dxa"/>
                                <w:right w:w="150" w:type="dxa"/>
                              </w:tcMar>
                              <w:hideMark/>
                            </w:tcPr>
                            <w:p w:rsidR="003628A2" w:rsidRDefault="003628A2" w:rsidP="003628A2">
                              <w:pPr>
                                <w:pStyle w:val="Heading1"/>
                                <w:spacing w:before="0" w:beforeAutospacing="0" w:after="0" w:afterAutospacing="0"/>
                                <w:rPr>
                                  <w:rFonts w:ascii="Arial" w:eastAsia="Times New Roman" w:hAnsi="Arial" w:cs="Arial"/>
                                  <w:color w:val="AF282F"/>
                                  <w:sz w:val="30"/>
                                  <w:szCs w:val="30"/>
                                </w:rPr>
                              </w:pPr>
                              <w:r>
                                <w:rPr>
                                  <w:rFonts w:ascii="Arial" w:eastAsia="Times New Roman" w:hAnsi="Arial" w:cs="Arial"/>
                                  <w:color w:val="0D60B5"/>
                                  <w:sz w:val="30"/>
                                  <w:szCs w:val="30"/>
                                </w:rPr>
                                <w:t>Advertiser Spotlight</w:t>
                              </w:r>
                            </w:p>
                          </w:tc>
                          <w:tc>
                            <w:tcPr>
                              <w:tcW w:w="6" w:type="dxa"/>
                              <w:hideMark/>
                            </w:tcPr>
                            <w:p w:rsidR="003628A2" w:rsidRDefault="003628A2" w:rsidP="003628A2">
                              <w:pPr>
                                <w:rPr>
                                  <w:rFonts w:ascii="Arial" w:eastAsia="Times New Roman" w:hAnsi="Arial" w:cs="Arial"/>
                                  <w:color w:val="AF282F"/>
                                  <w:sz w:val="30"/>
                                  <w:szCs w:val="30"/>
                                </w:rPr>
                              </w:pPr>
                            </w:p>
                          </w:tc>
                        </w:tr>
                      </w:tbl>
                      <w:p w:rsidR="003628A2" w:rsidRDefault="003628A2" w:rsidP="003628A2">
                        <w:pPr>
                          <w:rPr>
                            <w:rFonts w:eastAsia="Times New Roman"/>
                            <w:sz w:val="20"/>
                            <w:szCs w:val="20"/>
                          </w:rPr>
                        </w:pPr>
                      </w:p>
                    </w:tc>
                  </w:tr>
                </w:tbl>
                <w:p w:rsidR="003628A2" w:rsidRDefault="003628A2" w:rsidP="003628A2">
                  <w:pPr>
                    <w:rPr>
                      <w:rFonts w:eastAsia="Times New Roman"/>
                      <w:sz w:val="20"/>
                      <w:szCs w:val="20"/>
                    </w:rPr>
                  </w:pPr>
                </w:p>
              </w:tc>
            </w:tr>
            <w:tr w:rsidR="003628A2">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3628A2">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3628A2">
                          <w:tc>
                            <w:tcPr>
                              <w:tcW w:w="0" w:type="auto"/>
                              <w:tcMar>
                                <w:top w:w="0" w:type="dxa"/>
                                <w:left w:w="150" w:type="dxa"/>
                                <w:bottom w:w="150" w:type="dxa"/>
                                <w:right w:w="150" w:type="dxa"/>
                              </w:tcMar>
                              <w:hideMark/>
                            </w:tcPr>
                            <w:p w:rsidR="003628A2" w:rsidRDefault="003628A2" w:rsidP="003628A2">
                              <w:pPr>
                                <w:spacing w:line="280" w:lineRule="atLeast"/>
                                <w:rPr>
                                  <w:rFonts w:ascii="Helvetica" w:eastAsia="Times New Roman" w:hAnsi="Helvetica" w:cs="Helvetica"/>
                                  <w:color w:val="222222"/>
                                  <w:sz w:val="20"/>
                                  <w:szCs w:val="20"/>
                                </w:rPr>
                              </w:pPr>
                              <w:r>
                                <w:rPr>
                                  <w:rFonts w:ascii="Helvetica" w:eastAsia="Times New Roman" w:hAnsi="Helvetica" w:cs="Helvetica"/>
                                  <w:noProof/>
                                  <w:color w:val="0000FF"/>
                                  <w:sz w:val="20"/>
                                  <w:szCs w:val="20"/>
                                </w:rPr>
                                <w:drawing>
                                  <wp:inline distT="0" distB="0" distL="0" distR="0">
                                    <wp:extent cx="5334000" cy="895350"/>
                                    <wp:effectExtent l="0" t="0" r="0" b="0"/>
                                    <wp:docPr id="5" name="Picture 5" descr="ICC Ad">
                                      <a:hlinkClick xmlns:a="http://schemas.openxmlformats.org/drawingml/2006/main" r:id="rId13"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C A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0" cy="895350"/>
                                            </a:xfrm>
                                            <a:prstGeom prst="rect">
                                              <a:avLst/>
                                            </a:prstGeom>
                                            <a:noFill/>
                                            <a:ln>
                                              <a:noFill/>
                                            </a:ln>
                                          </pic:spPr>
                                        </pic:pic>
                                      </a:graphicData>
                                    </a:graphic>
                                  </wp:inline>
                                </w:drawing>
                              </w:r>
                            </w:p>
                          </w:tc>
                          <w:tc>
                            <w:tcPr>
                              <w:tcW w:w="6" w:type="dxa"/>
                              <w:hideMark/>
                            </w:tcPr>
                            <w:p w:rsidR="003628A2" w:rsidRDefault="003628A2" w:rsidP="003628A2">
                              <w:pPr>
                                <w:rPr>
                                  <w:rFonts w:ascii="Helvetica" w:eastAsia="Times New Roman" w:hAnsi="Helvetica" w:cs="Helvetica"/>
                                  <w:color w:val="222222"/>
                                  <w:sz w:val="20"/>
                                  <w:szCs w:val="20"/>
                                </w:rPr>
                              </w:pPr>
                            </w:p>
                          </w:tc>
                        </w:tr>
                      </w:tbl>
                      <w:p w:rsidR="003628A2" w:rsidRDefault="003628A2" w:rsidP="003628A2">
                        <w:pPr>
                          <w:rPr>
                            <w:rFonts w:eastAsia="Times New Roman"/>
                            <w:sz w:val="20"/>
                            <w:szCs w:val="20"/>
                          </w:rPr>
                        </w:pPr>
                      </w:p>
                    </w:tc>
                  </w:tr>
                </w:tbl>
                <w:p w:rsidR="003628A2" w:rsidRDefault="003628A2" w:rsidP="003628A2">
                  <w:pPr>
                    <w:rPr>
                      <w:rFonts w:eastAsia="Times New Roman"/>
                      <w:sz w:val="20"/>
                      <w:szCs w:val="20"/>
                    </w:rPr>
                  </w:pPr>
                </w:p>
              </w:tc>
            </w:tr>
            <w:tr w:rsidR="003628A2">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3628A2">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3628A2">
                          <w:tc>
                            <w:tcPr>
                              <w:tcW w:w="0" w:type="auto"/>
                              <w:tcMar>
                                <w:top w:w="150" w:type="dxa"/>
                                <w:left w:w="150" w:type="dxa"/>
                                <w:bottom w:w="150" w:type="dxa"/>
                                <w:right w:w="150" w:type="dxa"/>
                              </w:tcMar>
                              <w:hideMark/>
                            </w:tcPr>
                            <w:p w:rsidR="003628A2" w:rsidRDefault="003628A2" w:rsidP="003628A2">
                              <w:pPr>
                                <w:rPr>
                                  <w:rFonts w:eastAsia="Times New Roman"/>
                                  <w:sz w:val="20"/>
                                  <w:szCs w:val="20"/>
                                </w:rPr>
                              </w:pPr>
                            </w:p>
                          </w:tc>
                          <w:tc>
                            <w:tcPr>
                              <w:tcW w:w="6" w:type="dxa"/>
                              <w:hideMark/>
                            </w:tcPr>
                            <w:p w:rsidR="003628A2" w:rsidRDefault="003628A2" w:rsidP="003628A2">
                              <w:pPr>
                                <w:rPr>
                                  <w:rFonts w:eastAsia="Times New Roman"/>
                                  <w:sz w:val="20"/>
                                  <w:szCs w:val="20"/>
                                </w:rPr>
                              </w:pPr>
                            </w:p>
                          </w:tc>
                        </w:tr>
                      </w:tbl>
                      <w:p w:rsidR="003628A2" w:rsidRDefault="003628A2" w:rsidP="003628A2">
                        <w:pPr>
                          <w:rPr>
                            <w:rFonts w:eastAsia="Times New Roman"/>
                            <w:sz w:val="20"/>
                            <w:szCs w:val="20"/>
                          </w:rPr>
                        </w:pPr>
                      </w:p>
                    </w:tc>
                  </w:tr>
                </w:tbl>
                <w:p w:rsidR="003628A2" w:rsidRDefault="003628A2" w:rsidP="003628A2">
                  <w:pPr>
                    <w:rPr>
                      <w:rFonts w:eastAsia="Times New Roman"/>
                      <w:sz w:val="20"/>
                      <w:szCs w:val="20"/>
                    </w:rPr>
                  </w:pPr>
                </w:p>
              </w:tc>
            </w:tr>
            <w:tr w:rsidR="003628A2">
              <w:tc>
                <w:tcPr>
                  <w:tcW w:w="0" w:type="auto"/>
                  <w:hideMark/>
                </w:tcPr>
                <w:tbl>
                  <w:tblPr>
                    <w:tblW w:w="8700" w:type="dxa"/>
                    <w:shd w:val="clear" w:color="auto" w:fill="003A70"/>
                    <w:tblCellMar>
                      <w:left w:w="0" w:type="dxa"/>
                      <w:right w:w="0" w:type="dxa"/>
                    </w:tblCellMar>
                    <w:tblLook w:val="04A0" w:firstRow="1" w:lastRow="0" w:firstColumn="1" w:lastColumn="0" w:noHBand="0" w:noVBand="1"/>
                  </w:tblPr>
                  <w:tblGrid>
                    <w:gridCol w:w="8706"/>
                  </w:tblGrid>
                  <w:tr w:rsidR="003628A2">
                    <w:tc>
                      <w:tcPr>
                        <w:tcW w:w="8700" w:type="dxa"/>
                        <w:shd w:val="clear" w:color="auto" w:fill="003A70"/>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3628A2">
                          <w:tc>
                            <w:tcPr>
                              <w:tcW w:w="0" w:type="auto"/>
                              <w:tcMar>
                                <w:top w:w="0" w:type="dxa"/>
                                <w:left w:w="150" w:type="dxa"/>
                                <w:bottom w:w="150" w:type="dxa"/>
                                <w:right w:w="150" w:type="dxa"/>
                              </w:tcMar>
                              <w:hideMark/>
                            </w:tcPr>
                            <w:p w:rsidR="003628A2" w:rsidRDefault="003628A2" w:rsidP="003628A2">
                              <w:pPr>
                                <w:spacing w:line="280" w:lineRule="atLeast"/>
                                <w:rPr>
                                  <w:rFonts w:ascii="Helvetica" w:eastAsia="Times New Roman" w:hAnsi="Helvetica" w:cs="Helvetica"/>
                                  <w:color w:val="222222"/>
                                  <w:sz w:val="20"/>
                                  <w:szCs w:val="20"/>
                                </w:rPr>
                              </w:pPr>
                              <w:r>
                                <w:rPr>
                                  <w:rFonts w:ascii="Helvetica" w:eastAsia="Times New Roman" w:hAnsi="Helvetica" w:cs="Helvetica"/>
                                  <w:noProof/>
                                  <w:color w:val="0000FF"/>
                                  <w:sz w:val="20"/>
                                  <w:szCs w:val="20"/>
                                </w:rPr>
                                <w:drawing>
                                  <wp:inline distT="0" distB="0" distL="0" distR="0">
                                    <wp:extent cx="5334000" cy="600075"/>
                                    <wp:effectExtent l="0" t="0" r="0" b="9525"/>
                                    <wp:docPr id="4" name="Picture 4" descr="222 West State Street, Trenton, NJ 08608 Phone: 609-695-3481 Web: njslom.org">
                                      <a:hlinkClick xmlns:a="http://schemas.openxmlformats.org/drawingml/2006/main" r:id="rId15"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22 West State Street, Trenton, NJ 08608 Phone: 609-695-3481 Web: njslom.or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0" cy="600075"/>
                                            </a:xfrm>
                                            <a:prstGeom prst="rect">
                                              <a:avLst/>
                                            </a:prstGeom>
                                            <a:noFill/>
                                            <a:ln>
                                              <a:noFill/>
                                            </a:ln>
                                          </pic:spPr>
                                        </pic:pic>
                                      </a:graphicData>
                                    </a:graphic>
                                  </wp:inline>
                                </w:drawing>
                              </w:r>
                            </w:p>
                          </w:tc>
                          <w:tc>
                            <w:tcPr>
                              <w:tcW w:w="6" w:type="dxa"/>
                              <w:hideMark/>
                            </w:tcPr>
                            <w:p w:rsidR="003628A2" w:rsidRDefault="003628A2" w:rsidP="003628A2">
                              <w:pPr>
                                <w:rPr>
                                  <w:rFonts w:ascii="Helvetica" w:eastAsia="Times New Roman" w:hAnsi="Helvetica" w:cs="Helvetica"/>
                                  <w:color w:val="222222"/>
                                  <w:sz w:val="20"/>
                                  <w:szCs w:val="20"/>
                                </w:rPr>
                              </w:pPr>
                            </w:p>
                          </w:tc>
                        </w:tr>
                      </w:tbl>
                      <w:p w:rsidR="003628A2" w:rsidRDefault="003628A2" w:rsidP="003628A2">
                        <w:pPr>
                          <w:rPr>
                            <w:rFonts w:eastAsia="Times New Roman"/>
                            <w:sz w:val="20"/>
                            <w:szCs w:val="20"/>
                          </w:rPr>
                        </w:pPr>
                      </w:p>
                    </w:tc>
                  </w:tr>
                </w:tbl>
                <w:p w:rsidR="003628A2" w:rsidRDefault="003628A2" w:rsidP="003628A2">
                  <w:pPr>
                    <w:rPr>
                      <w:rFonts w:eastAsia="Times New Roman"/>
                      <w:sz w:val="20"/>
                      <w:szCs w:val="20"/>
                    </w:rPr>
                  </w:pPr>
                </w:p>
              </w:tc>
            </w:tr>
            <w:tr w:rsidR="003628A2">
              <w:tc>
                <w:tcPr>
                  <w:tcW w:w="0" w:type="auto"/>
                  <w:hideMark/>
                </w:tcPr>
                <w:tbl>
                  <w:tblPr>
                    <w:tblW w:w="5000" w:type="pct"/>
                    <w:shd w:val="clear" w:color="auto" w:fill="003A70"/>
                    <w:tblCellMar>
                      <w:left w:w="0" w:type="dxa"/>
                      <w:right w:w="0" w:type="dxa"/>
                    </w:tblCellMar>
                    <w:tblLook w:val="04A0" w:firstRow="1" w:lastRow="0" w:firstColumn="1" w:lastColumn="0" w:noHBand="0" w:noVBand="1"/>
                  </w:tblPr>
                  <w:tblGrid>
                    <w:gridCol w:w="9306"/>
                  </w:tblGrid>
                  <w:tr w:rsidR="003628A2">
                    <w:tc>
                      <w:tcPr>
                        <w:tcW w:w="8700" w:type="dxa"/>
                        <w:shd w:val="clear" w:color="auto" w:fill="003A70"/>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3628A2">
                          <w:tc>
                            <w:tcPr>
                              <w:tcW w:w="0" w:type="auto"/>
                              <w:tcMar>
                                <w:top w:w="150" w:type="dxa"/>
                                <w:left w:w="150" w:type="dxa"/>
                                <w:bottom w:w="150" w:type="dxa"/>
                                <w:right w:w="150" w:type="dxa"/>
                              </w:tcMar>
                              <w:hideMark/>
                            </w:tcPr>
                            <w:p w:rsidR="003628A2" w:rsidRDefault="003628A2" w:rsidP="003628A2">
                              <w:pPr>
                                <w:pStyle w:val="Heading2"/>
                                <w:spacing w:before="0" w:beforeAutospacing="0" w:after="0" w:afterAutospacing="0"/>
                                <w:rPr>
                                  <w:rFonts w:ascii="Arial" w:eastAsia="Times New Roman" w:hAnsi="Arial" w:cs="Arial"/>
                                  <w:color w:val="711A1E"/>
                                  <w:sz w:val="24"/>
                                  <w:szCs w:val="24"/>
                                </w:rPr>
                              </w:pPr>
                              <w:r>
                                <w:rPr>
                                  <w:rFonts w:ascii="Arial" w:eastAsia="Times New Roman" w:hAnsi="Arial" w:cs="Arial"/>
                                  <w:color w:val="FFFFFF"/>
                                  <w:sz w:val="24"/>
                                  <w:szCs w:val="24"/>
                                </w:rPr>
                                <w:t>NJLM on Social Media:     </w:t>
                              </w:r>
                              <w:hyperlink r:id="rId17" w:history="1">
                                <w:r>
                                  <w:rPr>
                                    <w:rStyle w:val="Hyperlink"/>
                                    <w:rFonts w:ascii="Arial" w:eastAsia="Times New Roman" w:hAnsi="Arial" w:cs="Arial"/>
                                    <w:color w:val="FFFFFF"/>
                                    <w:sz w:val="24"/>
                                    <w:szCs w:val="24"/>
                                  </w:rPr>
                                  <w:t>Facebook</w:t>
                                </w:r>
                              </w:hyperlink>
                              <w:r>
                                <w:rPr>
                                  <w:rFonts w:ascii="Arial" w:eastAsia="Times New Roman" w:hAnsi="Arial" w:cs="Arial"/>
                                  <w:color w:val="FFFFFF"/>
                                  <w:sz w:val="24"/>
                                  <w:szCs w:val="24"/>
                                </w:rPr>
                                <w:t>     </w:t>
                              </w:r>
                              <w:hyperlink r:id="rId18" w:history="1">
                                <w:r>
                                  <w:rPr>
                                    <w:rStyle w:val="Hyperlink"/>
                                    <w:rFonts w:ascii="Arial" w:eastAsia="Times New Roman" w:hAnsi="Arial" w:cs="Arial"/>
                                    <w:color w:val="FFFFFF"/>
                                    <w:sz w:val="24"/>
                                    <w:szCs w:val="24"/>
                                  </w:rPr>
                                  <w:t>Twitter</w:t>
                                </w:r>
                              </w:hyperlink>
                              <w:r>
                                <w:rPr>
                                  <w:rFonts w:ascii="Arial" w:eastAsia="Times New Roman" w:hAnsi="Arial" w:cs="Arial"/>
                                  <w:color w:val="FFFFFF"/>
                                  <w:sz w:val="24"/>
                                  <w:szCs w:val="24"/>
                                </w:rPr>
                                <w:t>    </w:t>
                              </w:r>
                              <w:hyperlink r:id="rId19" w:history="1">
                                <w:r>
                                  <w:rPr>
                                    <w:rStyle w:val="Hyperlink"/>
                                    <w:rFonts w:ascii="Arial" w:eastAsia="Times New Roman" w:hAnsi="Arial" w:cs="Arial"/>
                                    <w:color w:val="FFFFFF"/>
                                    <w:sz w:val="24"/>
                                    <w:szCs w:val="24"/>
                                  </w:rPr>
                                  <w:t>LinkedIn</w:t>
                                </w:r>
                              </w:hyperlink>
                              <w:r>
                                <w:rPr>
                                  <w:rFonts w:ascii="Arial" w:eastAsia="Times New Roman" w:hAnsi="Arial" w:cs="Arial"/>
                                  <w:color w:val="FFFFFF"/>
                                  <w:sz w:val="24"/>
                                  <w:szCs w:val="24"/>
                                </w:rPr>
                                <w:t>     </w:t>
                              </w:r>
                              <w:hyperlink r:id="rId20" w:history="1">
                                <w:r>
                                  <w:rPr>
                                    <w:rStyle w:val="Hyperlink"/>
                                    <w:rFonts w:ascii="Arial" w:eastAsia="Times New Roman" w:hAnsi="Arial" w:cs="Arial"/>
                                    <w:color w:val="FFFFFF"/>
                                    <w:sz w:val="24"/>
                                    <w:szCs w:val="24"/>
                                  </w:rPr>
                                  <w:t>YouTube</w:t>
                                </w:r>
                              </w:hyperlink>
                            </w:p>
                          </w:tc>
                          <w:tc>
                            <w:tcPr>
                              <w:tcW w:w="6" w:type="dxa"/>
                              <w:hideMark/>
                            </w:tcPr>
                            <w:p w:rsidR="003628A2" w:rsidRDefault="003628A2" w:rsidP="003628A2">
                              <w:pPr>
                                <w:rPr>
                                  <w:rFonts w:ascii="Arial" w:eastAsia="Times New Roman" w:hAnsi="Arial" w:cs="Arial"/>
                                  <w:color w:val="711A1E"/>
                                </w:rPr>
                              </w:pPr>
                            </w:p>
                          </w:tc>
                        </w:tr>
                      </w:tbl>
                      <w:p w:rsidR="003628A2" w:rsidRDefault="003628A2" w:rsidP="003628A2">
                        <w:pPr>
                          <w:rPr>
                            <w:rFonts w:eastAsia="Times New Roman"/>
                            <w:sz w:val="20"/>
                            <w:szCs w:val="20"/>
                          </w:rPr>
                        </w:pPr>
                      </w:p>
                    </w:tc>
                  </w:tr>
                </w:tbl>
                <w:p w:rsidR="003628A2" w:rsidRDefault="003628A2" w:rsidP="003628A2">
                  <w:pPr>
                    <w:rPr>
                      <w:rFonts w:eastAsia="Times New Roman"/>
                      <w:sz w:val="20"/>
                      <w:szCs w:val="20"/>
                    </w:rPr>
                  </w:pPr>
                </w:p>
              </w:tc>
            </w:tr>
            <w:tr w:rsidR="003628A2">
              <w:tc>
                <w:tcPr>
                  <w:tcW w:w="0" w:type="auto"/>
                  <w:hideMark/>
                </w:tcPr>
                <w:tbl>
                  <w:tblPr>
                    <w:tblW w:w="5000" w:type="pct"/>
                    <w:tblBorders>
                      <w:top w:val="single" w:sz="6" w:space="0" w:color="CCCCCC"/>
                    </w:tblBorders>
                    <w:shd w:val="clear" w:color="auto" w:fill="E4E4E4"/>
                    <w:tblCellMar>
                      <w:left w:w="0" w:type="dxa"/>
                      <w:right w:w="0" w:type="dxa"/>
                    </w:tblCellMar>
                    <w:tblLook w:val="04A0" w:firstRow="1" w:lastRow="0" w:firstColumn="1" w:lastColumn="0" w:noHBand="0" w:noVBand="1"/>
                  </w:tblPr>
                  <w:tblGrid>
                    <w:gridCol w:w="3209"/>
                    <w:gridCol w:w="3209"/>
                    <w:gridCol w:w="2888"/>
                  </w:tblGrid>
                  <w:tr w:rsidR="003628A2">
                    <w:tc>
                      <w:tcPr>
                        <w:tcW w:w="2700" w:type="dxa"/>
                        <w:tcBorders>
                          <w:top w:val="single" w:sz="6" w:space="0" w:color="CCCCCC"/>
                          <w:left w:val="nil"/>
                          <w:bottom w:val="nil"/>
                          <w:right w:val="nil"/>
                        </w:tcBorders>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3628A2">
                          <w:tc>
                            <w:tcPr>
                              <w:tcW w:w="0" w:type="auto"/>
                              <w:tcMar>
                                <w:top w:w="0" w:type="dxa"/>
                                <w:left w:w="0" w:type="dxa"/>
                                <w:bottom w:w="150" w:type="dxa"/>
                                <w:right w:w="0" w:type="dxa"/>
                              </w:tcMar>
                              <w:hideMark/>
                            </w:tcPr>
                            <w:p w:rsidR="003628A2" w:rsidRDefault="003628A2" w:rsidP="003628A2">
                              <w:pPr>
                                <w:spacing w:line="280" w:lineRule="atLeast"/>
                                <w:rPr>
                                  <w:rFonts w:ascii="Helvetica" w:eastAsia="Times New Roman" w:hAnsi="Helvetica" w:cs="Helvetica"/>
                                  <w:color w:val="222222"/>
                                  <w:sz w:val="20"/>
                                  <w:szCs w:val="20"/>
                                </w:rPr>
                              </w:pPr>
                              <w:hyperlink r:id="rId21" w:tgtFrame="_blank" w:history="1">
                                <w:r>
                                  <w:rPr>
                                    <w:rFonts w:ascii="Helvetica" w:eastAsia="Times New Roman" w:hAnsi="Helvetica" w:cs="Helvetica"/>
                                    <w:noProof/>
                                    <w:color w:val="606060"/>
                                    <w:sz w:val="20"/>
                                    <w:szCs w:val="20"/>
                                  </w:rPr>
                                  <w:drawing>
                                    <wp:inline distT="0" distB="0" distL="0" distR="0">
                                      <wp:extent cx="123825" cy="152400"/>
                                      <wp:effectExtent l="0" t="0" r="9525" b="0"/>
                                      <wp:docPr id="3" name="Picture 3" descr="Facebook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Sha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Style w:val="Hyperlink"/>
                                    <w:rFonts w:ascii="Helvetica" w:eastAsia="Times New Roman" w:hAnsi="Helvetica" w:cs="Helvetica"/>
                                    <w:color w:val="606060"/>
                                    <w:sz w:val="20"/>
                                    <w:szCs w:val="20"/>
                                  </w:rPr>
                                  <w:t xml:space="preserve">Share on Facebook </w:t>
                                </w:r>
                              </w:hyperlink>
                            </w:p>
                          </w:tc>
                          <w:tc>
                            <w:tcPr>
                              <w:tcW w:w="6" w:type="dxa"/>
                              <w:hideMark/>
                            </w:tcPr>
                            <w:p w:rsidR="003628A2" w:rsidRDefault="003628A2" w:rsidP="003628A2">
                              <w:pPr>
                                <w:rPr>
                                  <w:rFonts w:ascii="Helvetica" w:eastAsia="Times New Roman" w:hAnsi="Helvetica" w:cs="Helvetica"/>
                                  <w:color w:val="222222"/>
                                  <w:sz w:val="20"/>
                                  <w:szCs w:val="20"/>
                                </w:rPr>
                              </w:pPr>
                            </w:p>
                          </w:tc>
                        </w:tr>
                      </w:tbl>
                      <w:p w:rsidR="003628A2" w:rsidRDefault="003628A2" w:rsidP="003628A2">
                        <w:pPr>
                          <w:rPr>
                            <w:rFonts w:eastAsia="Times New Roman"/>
                            <w:sz w:val="20"/>
                            <w:szCs w:val="20"/>
                          </w:rPr>
                        </w:pPr>
                      </w:p>
                    </w:tc>
                    <w:tc>
                      <w:tcPr>
                        <w:tcW w:w="2700" w:type="dxa"/>
                        <w:tcBorders>
                          <w:top w:val="single" w:sz="6" w:space="0" w:color="CCCCCC"/>
                          <w:left w:val="nil"/>
                          <w:bottom w:val="nil"/>
                          <w:right w:val="nil"/>
                        </w:tcBorders>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3628A2">
                          <w:tc>
                            <w:tcPr>
                              <w:tcW w:w="0" w:type="auto"/>
                              <w:tcMar>
                                <w:top w:w="0" w:type="dxa"/>
                                <w:left w:w="0" w:type="dxa"/>
                                <w:bottom w:w="150" w:type="dxa"/>
                                <w:right w:w="0" w:type="dxa"/>
                              </w:tcMar>
                              <w:hideMark/>
                            </w:tcPr>
                            <w:p w:rsidR="003628A2" w:rsidRDefault="003628A2" w:rsidP="003628A2">
                              <w:pPr>
                                <w:spacing w:line="280" w:lineRule="atLeast"/>
                                <w:rPr>
                                  <w:rFonts w:ascii="Helvetica" w:eastAsia="Times New Roman" w:hAnsi="Helvetica" w:cs="Helvetica"/>
                                  <w:color w:val="222222"/>
                                  <w:sz w:val="20"/>
                                  <w:szCs w:val="20"/>
                                </w:rPr>
                              </w:pPr>
                              <w:hyperlink r:id="rId23" w:tgtFrame="_blank" w:history="1">
                                <w:r>
                                  <w:rPr>
                                    <w:rFonts w:ascii="Helvetica" w:eastAsia="Times New Roman" w:hAnsi="Helvetica" w:cs="Helvetica"/>
                                    <w:noProof/>
                                    <w:color w:val="606060"/>
                                    <w:sz w:val="20"/>
                                    <w:szCs w:val="20"/>
                                  </w:rPr>
                                  <w:drawing>
                                    <wp:inline distT="0" distB="0" distL="0" distR="0">
                                      <wp:extent cx="123825" cy="152400"/>
                                      <wp:effectExtent l="0" t="0" r="9525" b="0"/>
                                      <wp:docPr id="2" name="Picture 2" descr="Twitter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Shar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Style w:val="Hyperlink"/>
                                    <w:rFonts w:ascii="Helvetica" w:eastAsia="Times New Roman" w:hAnsi="Helvetica" w:cs="Helvetica"/>
                                    <w:color w:val="606060"/>
                                    <w:sz w:val="20"/>
                                    <w:szCs w:val="20"/>
                                  </w:rPr>
                                  <w:t xml:space="preserve">Share on Twitter </w:t>
                                </w:r>
                              </w:hyperlink>
                            </w:p>
                          </w:tc>
                          <w:tc>
                            <w:tcPr>
                              <w:tcW w:w="6" w:type="dxa"/>
                              <w:hideMark/>
                            </w:tcPr>
                            <w:p w:rsidR="003628A2" w:rsidRDefault="003628A2" w:rsidP="003628A2">
                              <w:pPr>
                                <w:rPr>
                                  <w:rFonts w:ascii="Helvetica" w:eastAsia="Times New Roman" w:hAnsi="Helvetica" w:cs="Helvetica"/>
                                  <w:color w:val="222222"/>
                                  <w:sz w:val="20"/>
                                  <w:szCs w:val="20"/>
                                </w:rPr>
                              </w:pPr>
                            </w:p>
                          </w:tc>
                        </w:tr>
                      </w:tbl>
                      <w:p w:rsidR="003628A2" w:rsidRDefault="003628A2" w:rsidP="003628A2">
                        <w:pPr>
                          <w:rPr>
                            <w:rFonts w:eastAsia="Times New Roman"/>
                            <w:sz w:val="20"/>
                            <w:szCs w:val="20"/>
                          </w:rPr>
                        </w:pPr>
                      </w:p>
                    </w:tc>
                    <w:tc>
                      <w:tcPr>
                        <w:tcW w:w="2700" w:type="dxa"/>
                        <w:tcBorders>
                          <w:top w:val="single" w:sz="6" w:space="0" w:color="CCCCCC"/>
                          <w:left w:val="nil"/>
                          <w:bottom w:val="nil"/>
                          <w:right w:val="nil"/>
                        </w:tcBorders>
                        <w:shd w:val="clear" w:color="auto" w:fill="E4E4E4"/>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3628A2">
                          <w:tc>
                            <w:tcPr>
                              <w:tcW w:w="0" w:type="auto"/>
                              <w:tcMar>
                                <w:top w:w="0" w:type="dxa"/>
                                <w:left w:w="0" w:type="dxa"/>
                                <w:bottom w:w="150" w:type="dxa"/>
                                <w:right w:w="0" w:type="dxa"/>
                              </w:tcMar>
                              <w:hideMark/>
                            </w:tcPr>
                            <w:p w:rsidR="003628A2" w:rsidRDefault="003628A2" w:rsidP="003628A2">
                              <w:pPr>
                                <w:spacing w:line="280" w:lineRule="atLeast"/>
                                <w:rPr>
                                  <w:rFonts w:ascii="Helvetica" w:eastAsia="Times New Roman" w:hAnsi="Helvetica" w:cs="Helvetica"/>
                                  <w:color w:val="222222"/>
                                  <w:sz w:val="20"/>
                                  <w:szCs w:val="20"/>
                                </w:rPr>
                              </w:pPr>
                              <w:hyperlink r:id="rId25" w:tgtFrame="_blank" w:history="1">
                                <w:r>
                                  <w:rPr>
                                    <w:rFonts w:ascii="Helvetica" w:eastAsia="Times New Roman" w:hAnsi="Helvetica" w:cs="Helvetica"/>
                                    <w:noProof/>
                                    <w:color w:val="606060"/>
                                    <w:sz w:val="20"/>
                                    <w:szCs w:val="20"/>
                                  </w:rPr>
                                  <w:drawing>
                                    <wp:inline distT="0" distB="0" distL="0" distR="0">
                                      <wp:extent cx="133350" cy="152400"/>
                                      <wp:effectExtent l="0" t="0" r="0" b="0"/>
                                      <wp:docPr id="1" name="Picture 1" descr="Email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ail Shar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Pr>
                                    <w:rStyle w:val="Hyperlink"/>
                                    <w:rFonts w:ascii="Helvetica" w:eastAsia="Times New Roman" w:hAnsi="Helvetica" w:cs="Helvetica"/>
                                    <w:color w:val="606060"/>
                                    <w:sz w:val="20"/>
                                    <w:szCs w:val="20"/>
                                  </w:rPr>
                                  <w:t xml:space="preserve">Share via Email </w:t>
                                </w:r>
                              </w:hyperlink>
                            </w:p>
                          </w:tc>
                          <w:tc>
                            <w:tcPr>
                              <w:tcW w:w="6" w:type="dxa"/>
                              <w:hideMark/>
                            </w:tcPr>
                            <w:p w:rsidR="003628A2" w:rsidRDefault="003628A2" w:rsidP="003628A2">
                              <w:pPr>
                                <w:rPr>
                                  <w:rFonts w:ascii="Helvetica" w:eastAsia="Times New Roman" w:hAnsi="Helvetica" w:cs="Helvetica"/>
                                  <w:color w:val="222222"/>
                                  <w:sz w:val="20"/>
                                  <w:szCs w:val="20"/>
                                </w:rPr>
                              </w:pPr>
                            </w:p>
                          </w:tc>
                        </w:tr>
                      </w:tbl>
                      <w:p w:rsidR="003628A2" w:rsidRDefault="003628A2" w:rsidP="003628A2">
                        <w:pPr>
                          <w:rPr>
                            <w:rFonts w:eastAsia="Times New Roman"/>
                            <w:sz w:val="20"/>
                            <w:szCs w:val="20"/>
                          </w:rPr>
                        </w:pPr>
                      </w:p>
                    </w:tc>
                  </w:tr>
                </w:tbl>
                <w:p w:rsidR="003628A2" w:rsidRDefault="003628A2" w:rsidP="003628A2">
                  <w:pPr>
                    <w:rPr>
                      <w:rFonts w:eastAsia="Times New Roman"/>
                      <w:sz w:val="20"/>
                      <w:szCs w:val="20"/>
                    </w:rPr>
                  </w:pPr>
                </w:p>
              </w:tc>
            </w:tr>
            <w:tr w:rsidR="003628A2">
              <w:tc>
                <w:tcPr>
                  <w:tcW w:w="0" w:type="auto"/>
                  <w:hideMark/>
                </w:tcPr>
                <w:tbl>
                  <w:tblPr>
                    <w:tblW w:w="5000" w:type="pct"/>
                    <w:tblBorders>
                      <w:top w:val="single" w:sz="6" w:space="0" w:color="CCCCCC"/>
                    </w:tblBorders>
                    <w:shd w:val="clear" w:color="auto" w:fill="F2F2F2"/>
                    <w:tblCellMar>
                      <w:left w:w="0" w:type="dxa"/>
                      <w:right w:w="0" w:type="dxa"/>
                    </w:tblCellMar>
                    <w:tblLook w:val="04A0" w:firstRow="1" w:lastRow="0" w:firstColumn="1" w:lastColumn="0" w:noHBand="0" w:noVBand="1"/>
                  </w:tblPr>
                  <w:tblGrid>
                    <w:gridCol w:w="6750"/>
                    <w:gridCol w:w="2556"/>
                  </w:tblGrid>
                  <w:tr w:rsidR="003628A2">
                    <w:tc>
                      <w:tcPr>
                        <w:tcW w:w="6450" w:type="dxa"/>
                        <w:tcBorders>
                          <w:top w:val="single" w:sz="6" w:space="0" w:color="CCCCCC"/>
                          <w:left w:val="nil"/>
                          <w:bottom w:val="nil"/>
                          <w:right w:val="nil"/>
                        </w:tcBorders>
                        <w:shd w:val="clear" w:color="auto" w:fill="F2F2F2"/>
                        <w:tcMar>
                          <w:top w:w="150" w:type="dxa"/>
                          <w:left w:w="0" w:type="dxa"/>
                          <w:bottom w:w="0" w:type="dxa"/>
                          <w:right w:w="300" w:type="dxa"/>
                        </w:tcMar>
                        <w:hideMark/>
                      </w:tcPr>
                      <w:tbl>
                        <w:tblPr>
                          <w:tblW w:w="6450" w:type="dxa"/>
                          <w:tblCellMar>
                            <w:left w:w="0" w:type="dxa"/>
                            <w:right w:w="0" w:type="dxa"/>
                          </w:tblCellMar>
                          <w:tblLook w:val="04A0" w:firstRow="1" w:lastRow="0" w:firstColumn="1" w:lastColumn="0" w:noHBand="0" w:noVBand="1"/>
                        </w:tblPr>
                        <w:tblGrid>
                          <w:gridCol w:w="6444"/>
                          <w:gridCol w:w="6"/>
                        </w:tblGrid>
                        <w:tr w:rsidR="003628A2">
                          <w:tc>
                            <w:tcPr>
                              <w:tcW w:w="0" w:type="auto"/>
                              <w:tcMar>
                                <w:top w:w="0" w:type="dxa"/>
                                <w:left w:w="150" w:type="dxa"/>
                                <w:bottom w:w="150" w:type="dxa"/>
                                <w:right w:w="150" w:type="dxa"/>
                              </w:tcMar>
                              <w:hideMark/>
                            </w:tcPr>
                            <w:p w:rsidR="003628A2" w:rsidRDefault="003628A2" w:rsidP="003628A2">
                              <w:pPr>
                                <w:pStyle w:val="footer"/>
                                <w:spacing w:before="0" w:beforeAutospacing="0" w:after="225" w:afterAutospacing="0" w:line="270" w:lineRule="atLeast"/>
                                <w:rPr>
                                  <w:rFonts w:ascii="Helvetica" w:hAnsi="Helvetica" w:cs="Helvetica"/>
                                  <w:color w:val="969696"/>
                                  <w:sz w:val="18"/>
                                  <w:szCs w:val="18"/>
                                </w:rPr>
                              </w:pPr>
                              <w:r>
                                <w:rPr>
                                  <w:rFonts w:ascii="Helvetica" w:hAnsi="Helvetica" w:cs="Helvetica"/>
                                  <w:color w:val="969696"/>
                                  <w:sz w:val="18"/>
                                  <w:szCs w:val="18"/>
                                </w:rPr>
                                <w:lastRenderedPageBreak/>
                                <w:t xml:space="preserve">Copyright 2018 NJLM. All Rights Reserved. </w:t>
                              </w:r>
                              <w:r>
                                <w:rPr>
                                  <w:rFonts w:ascii="Helvetica" w:hAnsi="Helvetica" w:cs="Helvetica"/>
                                  <w:color w:val="969696"/>
                                  <w:sz w:val="18"/>
                                  <w:szCs w:val="18"/>
                                </w:rPr>
                                <w:br/>
                                <w:t xml:space="preserve">222 West State Street, Trenton, NJ 08608 </w:t>
                              </w:r>
                            </w:p>
                            <w:p w:rsidR="003628A2" w:rsidRDefault="003628A2" w:rsidP="003628A2">
                              <w:pPr>
                                <w:pStyle w:val="footer"/>
                                <w:spacing w:before="0" w:beforeAutospacing="0" w:after="225" w:afterAutospacing="0" w:line="270" w:lineRule="atLeast"/>
                                <w:rPr>
                                  <w:rFonts w:ascii="Helvetica" w:hAnsi="Helvetica" w:cs="Helvetica"/>
                                  <w:color w:val="969696"/>
                                  <w:sz w:val="18"/>
                                  <w:szCs w:val="18"/>
                                </w:rPr>
                              </w:pPr>
                              <w:r>
                                <w:rPr>
                                  <w:rFonts w:ascii="Helvetica" w:hAnsi="Helvetica" w:cs="Helvetica"/>
                                  <w:color w:val="969696"/>
                                  <w:sz w:val="18"/>
                                  <w:szCs w:val="18"/>
                                </w:rPr>
                                <w:t xml:space="preserve">If you no longer wish to receive emails from us, you may </w:t>
                              </w:r>
                              <w:hyperlink r:id="rId27" w:tgtFrame="_blank" w:history="1">
                                <w:r>
                                  <w:rPr>
                                    <w:rStyle w:val="Hyperlink"/>
                                    <w:rFonts w:ascii="Helvetica" w:hAnsi="Helvetica" w:cs="Helvetica"/>
                                    <w:b/>
                                    <w:bCs/>
                                    <w:color w:val="969696"/>
                                    <w:sz w:val="18"/>
                                    <w:szCs w:val="18"/>
                                  </w:rPr>
                                  <w:t>Unsubscribe</w:t>
                                </w:r>
                              </w:hyperlink>
                              <w:r>
                                <w:rPr>
                                  <w:rFonts w:ascii="Helvetica" w:hAnsi="Helvetica" w:cs="Helvetica"/>
                                  <w:color w:val="969696"/>
                                  <w:sz w:val="18"/>
                                  <w:szCs w:val="18"/>
                                </w:rPr>
                                <w:t xml:space="preserve">. </w:t>
                              </w:r>
                            </w:p>
                          </w:tc>
                          <w:tc>
                            <w:tcPr>
                              <w:tcW w:w="6" w:type="dxa"/>
                              <w:hideMark/>
                            </w:tcPr>
                            <w:p w:rsidR="003628A2" w:rsidRDefault="003628A2" w:rsidP="003628A2">
                              <w:pPr>
                                <w:rPr>
                                  <w:rFonts w:ascii="Helvetica" w:hAnsi="Helvetica" w:cs="Helvetica"/>
                                  <w:color w:val="969696"/>
                                  <w:sz w:val="18"/>
                                  <w:szCs w:val="18"/>
                                </w:rPr>
                              </w:pPr>
                            </w:p>
                          </w:tc>
                        </w:tr>
                      </w:tbl>
                      <w:p w:rsidR="003628A2" w:rsidRDefault="003628A2" w:rsidP="003628A2">
                        <w:pPr>
                          <w:rPr>
                            <w:rFonts w:eastAsia="Times New Roman"/>
                            <w:sz w:val="20"/>
                            <w:szCs w:val="20"/>
                          </w:rPr>
                        </w:pPr>
                      </w:p>
                    </w:tc>
                    <w:tc>
                      <w:tcPr>
                        <w:tcW w:w="1950" w:type="dxa"/>
                        <w:tcBorders>
                          <w:top w:val="single" w:sz="6" w:space="0" w:color="CCCCCC"/>
                          <w:left w:val="nil"/>
                          <w:bottom w:val="nil"/>
                          <w:right w:val="nil"/>
                        </w:tcBorders>
                        <w:shd w:val="clear" w:color="auto" w:fill="F2F2F2"/>
                        <w:tcMar>
                          <w:top w:w="150" w:type="dxa"/>
                          <w:left w:w="0" w:type="dxa"/>
                          <w:bottom w:w="0" w:type="dxa"/>
                          <w:right w:w="0" w:type="dxa"/>
                        </w:tcMar>
                        <w:hideMark/>
                      </w:tcPr>
                      <w:tbl>
                        <w:tblPr>
                          <w:tblW w:w="1950" w:type="dxa"/>
                          <w:tblCellMar>
                            <w:left w:w="0" w:type="dxa"/>
                            <w:right w:w="0" w:type="dxa"/>
                          </w:tblCellMar>
                          <w:tblLook w:val="04A0" w:firstRow="1" w:lastRow="0" w:firstColumn="1" w:lastColumn="0" w:noHBand="0" w:noVBand="1"/>
                        </w:tblPr>
                        <w:tblGrid>
                          <w:gridCol w:w="2550"/>
                          <w:gridCol w:w="6"/>
                        </w:tblGrid>
                        <w:tr w:rsidR="003628A2">
                          <w:tc>
                            <w:tcPr>
                              <w:tcW w:w="0" w:type="auto"/>
                              <w:tcMar>
                                <w:top w:w="0" w:type="dxa"/>
                                <w:left w:w="0" w:type="dxa"/>
                                <w:bottom w:w="150" w:type="dxa"/>
                                <w:right w:w="150" w:type="dxa"/>
                              </w:tcMar>
                              <w:hideMark/>
                            </w:tcPr>
                            <w:p w:rsidR="003628A2" w:rsidRDefault="003628A2" w:rsidP="003628A2">
                              <w:pPr>
                                <w:spacing w:line="280" w:lineRule="atLeast"/>
                                <w:rPr>
                                  <w:rFonts w:ascii="Helvetica" w:eastAsia="Times New Roman" w:hAnsi="Helvetica" w:cs="Helvetica"/>
                                  <w:color w:val="222222"/>
                                  <w:sz w:val="20"/>
                                  <w:szCs w:val="20"/>
                                </w:rPr>
                              </w:pPr>
                              <w:r>
                                <w:rPr>
                                  <w:rFonts w:ascii="Helvetica" w:eastAsia="Times New Roman" w:hAnsi="Helvetica" w:cs="Helvetica"/>
                                  <w:color w:val="969696"/>
                                  <w:sz w:val="15"/>
                                  <w:szCs w:val="15"/>
                                </w:rPr>
                                <w:t>Powered by</w:t>
                              </w:r>
                              <w:r>
                                <w:rPr>
                                  <w:rFonts w:eastAsia="Times New Roman"/>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523809" cy="279365"/>
                                    <wp:effectExtent l="0" t="0" r="635" b="6985"/>
                                    <wp:wrapSquare wrapText="bothSides"/>
                                    <wp:docPr id="8" name="Picture 8" descr="CivicSend - A product of Civic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vicSend - A product of CivicPlu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3809" cy="2793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 w:type="dxa"/>
                              <w:hideMark/>
                            </w:tcPr>
                            <w:p w:rsidR="003628A2" w:rsidRDefault="003628A2" w:rsidP="003628A2">
                              <w:pPr>
                                <w:rPr>
                                  <w:rFonts w:ascii="Helvetica" w:eastAsia="Times New Roman" w:hAnsi="Helvetica" w:cs="Helvetica"/>
                                  <w:color w:val="222222"/>
                                  <w:sz w:val="20"/>
                                  <w:szCs w:val="20"/>
                                </w:rPr>
                              </w:pPr>
                            </w:p>
                          </w:tc>
                        </w:tr>
                      </w:tbl>
                      <w:p w:rsidR="003628A2" w:rsidRDefault="003628A2" w:rsidP="003628A2">
                        <w:pPr>
                          <w:rPr>
                            <w:rFonts w:eastAsia="Times New Roman"/>
                            <w:sz w:val="20"/>
                            <w:szCs w:val="20"/>
                          </w:rPr>
                        </w:pPr>
                      </w:p>
                    </w:tc>
                  </w:tr>
                </w:tbl>
                <w:p w:rsidR="003628A2" w:rsidRDefault="003628A2" w:rsidP="003628A2">
                  <w:pPr>
                    <w:rPr>
                      <w:rFonts w:eastAsia="Times New Roman"/>
                      <w:sz w:val="20"/>
                      <w:szCs w:val="20"/>
                    </w:rPr>
                  </w:pPr>
                </w:p>
              </w:tc>
            </w:tr>
          </w:tbl>
          <w:p w:rsidR="003628A2" w:rsidRDefault="003628A2" w:rsidP="003628A2">
            <w:pPr>
              <w:rPr>
                <w:rFonts w:eastAsia="Times New Roman"/>
                <w:sz w:val="20"/>
                <w:szCs w:val="20"/>
              </w:rPr>
            </w:pPr>
          </w:p>
        </w:tc>
      </w:tr>
    </w:tbl>
    <w:p w:rsidR="00D154E9" w:rsidRDefault="00D154E9" w:rsidP="003628A2"/>
    <w:sectPr w:rsidR="00D15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8A2"/>
    <w:rsid w:val="003628A2"/>
    <w:rsid w:val="00D15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E34A5-5968-497A-8D9F-01556792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8A2"/>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3628A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3628A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8A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628A2"/>
    <w:rPr>
      <w:rFonts w:ascii="Times New Roman" w:hAnsi="Times New Roman" w:cs="Times New Roman"/>
      <w:b/>
      <w:bCs/>
      <w:sz w:val="36"/>
      <w:szCs w:val="36"/>
    </w:rPr>
  </w:style>
  <w:style w:type="character" w:styleId="Hyperlink">
    <w:name w:val="Hyperlink"/>
    <w:basedOn w:val="DefaultParagraphFont"/>
    <w:uiPriority w:val="99"/>
    <w:semiHidden/>
    <w:unhideWhenUsed/>
    <w:rsid w:val="003628A2"/>
    <w:rPr>
      <w:color w:val="0000FF"/>
      <w:u w:val="single"/>
    </w:rPr>
  </w:style>
  <w:style w:type="paragraph" w:customStyle="1" w:styleId="normal1">
    <w:name w:val="normal1"/>
    <w:basedOn w:val="Normal"/>
    <w:rsid w:val="003628A2"/>
    <w:rPr>
      <w:rFonts w:ascii="Arial" w:hAnsi="Arial" w:cs="Arial"/>
      <w:color w:val="333333"/>
      <w:sz w:val="21"/>
      <w:szCs w:val="21"/>
    </w:rPr>
  </w:style>
  <w:style w:type="paragraph" w:customStyle="1" w:styleId="footer">
    <w:name w:val="footer"/>
    <w:basedOn w:val="Normal"/>
    <w:rsid w:val="003628A2"/>
    <w:pPr>
      <w:spacing w:before="100" w:beforeAutospacing="1" w:after="100" w:afterAutospacing="1"/>
    </w:pPr>
  </w:style>
  <w:style w:type="character" w:styleId="Strong">
    <w:name w:val="Strong"/>
    <w:basedOn w:val="DefaultParagraphFont"/>
    <w:uiPriority w:val="22"/>
    <w:qFormat/>
    <w:rsid w:val="003628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95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slom.org/publications" TargetMode="External"/><Relationship Id="rId13" Type="http://schemas.openxmlformats.org/officeDocument/2006/relationships/hyperlink" Target="http://shop.iccsafe.org/2015-international-fire-code-new-jersey-edition-1.html" TargetMode="External"/><Relationship Id="rId18" Type="http://schemas.openxmlformats.org/officeDocument/2006/relationships/hyperlink" Target="https://twitter.com/NJ_League" TargetMode="External"/><Relationship Id="rId26"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hyperlink" Target="https://www.facebook.com/sharer/sharer.php?u=https://goo.gl/SJW23t" TargetMode="External"/><Relationship Id="rId7" Type="http://schemas.openxmlformats.org/officeDocument/2006/relationships/hyperlink" Target="http://njslom.org/897/Download-Conference-App" TargetMode="External"/><Relationship Id="rId12" Type="http://schemas.openxmlformats.org/officeDocument/2006/relationships/image" Target="media/image2.jpeg"/><Relationship Id="rId17" Type="http://schemas.openxmlformats.org/officeDocument/2006/relationships/hyperlink" Target="https://www.facebook.com/njleague" TargetMode="External"/><Relationship Id="rId25" Type="http://schemas.openxmlformats.org/officeDocument/2006/relationships/hyperlink" Target="mailto:?to=&amp;subject=Check%20out%20this%20message&amp;body=https://goo.gl/SJW23t" TargetMode="Externa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hyperlink" Target="https://www.youtube.com/channel/UCbce9oVw9LvO6vxNz_89mZw"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j-njslom.civicplus.com/164/Dear-Mayor---Issue-Alerts" TargetMode="External"/><Relationship Id="rId11" Type="http://schemas.openxmlformats.org/officeDocument/2006/relationships/hyperlink" Target="https://www.njslom.org/300/Conference" TargetMode="External"/><Relationship Id="rId24"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http://www.njslom.org/" TargetMode="External"/><Relationship Id="rId23" Type="http://schemas.openxmlformats.org/officeDocument/2006/relationships/hyperlink" Target="http://twitter.com/share?url=https://goo.gl/SJW23t" TargetMode="External"/><Relationship Id="rId28" Type="http://schemas.openxmlformats.org/officeDocument/2006/relationships/image" Target="media/image8.png"/><Relationship Id="rId10" Type="http://schemas.openxmlformats.org/officeDocument/2006/relationships/hyperlink" Target="http://www.njslom.org/confceu/" TargetMode="External"/><Relationship Id="rId19" Type="http://schemas.openxmlformats.org/officeDocument/2006/relationships/hyperlink" Target="https://www.linkedin.com/company/new-jersey-league-of-municipalities/" TargetMode="External"/><Relationship Id="rId4" Type="http://schemas.openxmlformats.org/officeDocument/2006/relationships/hyperlink" Target="https://nj-njslom.civicplus.com/164/Dear-Mayor---Issue-Alerts" TargetMode="External"/><Relationship Id="rId9" Type="http://schemas.openxmlformats.org/officeDocument/2006/relationships/hyperlink" Target="mailto:sallen@njslom.org" TargetMode="External"/><Relationship Id="rId14" Type="http://schemas.openxmlformats.org/officeDocument/2006/relationships/image" Target="media/image3.jpeg"/><Relationship Id="rId22" Type="http://schemas.openxmlformats.org/officeDocument/2006/relationships/image" Target="media/image5.png"/><Relationship Id="rId27" Type="http://schemas.openxmlformats.org/officeDocument/2006/relationships/hyperlink" Target="http://www.njslom.org/list.asp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Spiezio</dc:creator>
  <cp:keywords/>
  <dc:description/>
  <cp:lastModifiedBy>Amy Spiezio</cp:lastModifiedBy>
  <cp:revision>1</cp:revision>
  <dcterms:created xsi:type="dcterms:W3CDTF">2018-10-15T14:35:00Z</dcterms:created>
  <dcterms:modified xsi:type="dcterms:W3CDTF">2018-10-15T14:40:00Z</dcterms:modified>
</cp:coreProperties>
</file>